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#D1.1 Capturing Current IoT Practices Data Set (ESR5, OpenDott)</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   A Trutsmark for IoT (ESR 5)   |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This is one of the topics under Open Design of Trusted Things (OpenDoTT, opendott.org ), a joint PhD programme between Northumbria University and Mozilla. This folder contains data collected from the research phase 1 - Storytelling with Speculative Sensors (Designing for Trust in the IoT) as part of WP1  - D1.1 Capturing Current IoT Practices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Aim</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20" w:lineRule="auto"/>
        <w:rPr>
          <w:smallCaps w:val="0"/>
          <w:color w:val="000000"/>
        </w:rPr>
      </w:pPr>
      <w:r w:rsidDel="00000000" w:rsidR="00000000" w:rsidRPr="00000000">
        <w:rPr>
          <w:smallCaps w:val="0"/>
          <w:color w:val="000000"/>
          <w:rtl w:val="0"/>
        </w:rPr>
        <w:t xml:space="preserve">The overall aim of this PhD is to work towards a set of guidelines and properties that define a “trusted” IoT. This will involve investigating uses of the IoT across different scales, from wearables to smart cities. Key to this project is exploring the interplay between policy, design and technology across private and public connected devices, and identifying the key ethical issues arising from the changing social landscape that is being created by the amplifying effect of IoT.</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Method</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40" w:lineRule="auto"/>
        <w:rPr>
          <w:smallCaps w:val="0"/>
          <w:color w:val="000000"/>
        </w:rPr>
      </w:pPr>
      <w:r w:rsidDel="00000000" w:rsidR="00000000" w:rsidRPr="00000000">
        <w:rPr>
          <w:smallCaps w:val="0"/>
          <w:color w:val="000000"/>
          <w:rtl w:val="0"/>
        </w:rPr>
        <w:t xml:space="preserve">The research followed a mixed approach consisting of probes, interviews, and co-creation exercises. Participants were recruited by circulating a participant recruitment flyer to colleagues and friends via email. 5 participants were recruited from across the UK.  In this study, I aimed to generate rich descriptions of participants qualitative feelings about the IoT. I adapted the methods of cultural probes [1], particularly focusing on subversion as an essential element of probes. Cultural probes are meant to be provocative kits that are given out to participants in the hope of gaining open-ended and often abstract ‘inspiration-clues’. I reimagined the concept of the probe as a ‘kit’ and after collecting news stories and reports from around the web, adapted the cultural probe as a digital kit. The ‘digital probe’ was presented in a form of a website that was revealed to participants over a period of 3 weeks. Each week had a theme based on an archetype of a commonly used IoT sensor. In the spirit of ‘incompleteness’, there were spaces for participants to write their views in a comments box by responding to the IoT products featured in the digital kit. Semi-structured interviews (face-to-face, via Zoom ) were conducted with 5 participants.  Two of the five participants engaged in co-creation exercises within the framework of a generative toolkit [2]. The toolkit was simply a template that provoked ways of thinking about the future - a way to provoke dialog about a technology and social values by talking about participants needs, pain points, dreams and wishes. Participant interviews were transcribed. The transcribed interviews were open coded to find themes and categories. The conversations with participants, probe responses, co-creation excercises and themes from the transcribed data provided inspiration clues for sketching design concepts in the next phase of research.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40" w:lineRule="auto"/>
        <w:rPr>
          <w:smallCaps w:val="0"/>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40" w:lineRule="auto"/>
        <w:rPr>
          <w:smallCaps w:val="0"/>
          <w:color w:val="1a1a1a"/>
        </w:rPr>
      </w:pPr>
      <w:r w:rsidDel="00000000" w:rsidR="00000000" w:rsidRPr="00000000">
        <w:rPr>
          <w:smallCaps w:val="0"/>
          <w:color w:val="1a1a1a"/>
          <w:rtl w:val="0"/>
        </w:rPr>
        <w:t xml:space="preserve">[1]Gaver, W.W., Boucher, A., Pennington, S. and Walker, B., 2004. Cultural probes and the value of uncertainty. interactions, 11(5), pp.53-56.</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40" w:lineRule="auto"/>
        <w:rPr>
          <w:smallCaps w:val="0"/>
          <w:color w:val="1a1a1a"/>
        </w:rPr>
      </w:pPr>
      <w:r w:rsidDel="00000000" w:rsidR="00000000" w:rsidRPr="00000000">
        <w:rPr>
          <w:smallCaps w:val="0"/>
          <w:color w:val="000000"/>
          <w:rtl w:val="0"/>
        </w:rPr>
        <w:t xml:space="preserve">[2] </w:t>
      </w:r>
      <w:r w:rsidDel="00000000" w:rsidR="00000000" w:rsidRPr="00000000">
        <w:rPr>
          <w:smallCaps w:val="0"/>
          <w:color w:val="1a1a1a"/>
          <w:rtl w:val="0"/>
        </w:rPr>
        <w:t xml:space="preserve">Knutz, E., Lenskjold, T.U. and Markussen, T., 2016. Fiction as a resource in participatory design. In Proceedings of DRS 2016 International Conference: Future–Focused Thinking (pp. 1830-1844). Design Research Society.</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40" w:lineRule="auto"/>
        <w:rPr>
          <w:smallCaps w:val="0"/>
          <w:color w:val="1a1a1a"/>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Dataset contains: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[x] Participant Recruitment Flyer (.jpg)</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[x] Participant Information Sheet and Consent Forms (.pdf)</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[x] Digital Probe Kit (.pdf)</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[x[ Participant responses to probe (.xlsx)</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[x] Interview transcripts (.pdf)</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[x] Co-creation exercises (.pdf)</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[x] Coded transcripts and code categories(.pdf)</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Contact</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The researcher Namrata Primlani can be contacted on namrata.primlani@northumbria.ac.uk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 Funding</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mallCaps w:val="0"/>
        </w:rPr>
      </w:pPr>
      <w:r w:rsidDel="00000000" w:rsidR="00000000" w:rsidRPr="00000000">
        <w:rPr>
          <w:smallCaps w:val="0"/>
          <w:rtl w:val="0"/>
        </w:rPr>
        <w:t xml:space="preserve">This project has received funding from the European Union’s Horizon 2020 research and innovation programme under the Marie Skłodowska-Curie grant agreement No 813508. </w:t>
      </w:r>
    </w:p>
    <w:sectPr>
      <w:pgSz w:h="16840" w:w="1190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